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3E89D99" w14:textId="77777777" w:rsidR="00A13E53" w:rsidRPr="000861E6" w:rsidRDefault="00000000">
      <w:pPr>
        <w:spacing w:before="400" w:after="80"/>
        <w:jc w:val="center"/>
        <w:rPr>
          <w:lang w:val="fr-FR"/>
        </w:rPr>
      </w:pPr>
      <w:r w:rsidRPr="000861E6">
        <w:rPr>
          <w:b/>
          <w:bCs/>
          <w:color w:val="1F3864"/>
          <w:sz w:val="52"/>
          <w:szCs w:val="52"/>
          <w:lang w:val="fr-FR"/>
        </w:rPr>
        <w:t>Gestion de Patrimoine</w:t>
      </w:r>
    </w:p>
    <w:p w14:paraId="2CCFD052" w14:textId="77777777" w:rsidR="00A13E53" w:rsidRPr="000861E6" w:rsidRDefault="00000000">
      <w:pPr>
        <w:pStyle w:val="Heading1"/>
        <w:pBdr>
          <w:bottom w:val="single" w:sz="4" w:space="4" w:color="1F3864"/>
        </w:pBdr>
        <w:rPr>
          <w:lang w:val="fr-FR"/>
        </w:rPr>
      </w:pPr>
      <w:r w:rsidRPr="000861E6">
        <w:rPr>
          <w:lang w:val="fr-FR"/>
        </w:rPr>
        <w:t>1. Entreprise — La Place du Patrimoine</w:t>
      </w:r>
    </w:p>
    <w:p w14:paraId="3B779EE0" w14:textId="77777777" w:rsidR="00A13E53" w:rsidRPr="000861E6" w:rsidRDefault="00000000">
      <w:pPr>
        <w:pStyle w:val="Heading2"/>
        <w:rPr>
          <w:lang w:val="fr-FR"/>
        </w:rPr>
      </w:pPr>
      <w:r w:rsidRPr="000861E6">
        <w:rPr>
          <w:lang w:val="fr-FR"/>
        </w:rPr>
        <w:t>Contexte général</w:t>
      </w:r>
    </w:p>
    <w:p w14:paraId="7716BCFB" w14:textId="77777777" w:rsidR="00A13E53" w:rsidRPr="000861E6" w:rsidRDefault="00000000">
      <w:pPr>
        <w:spacing w:after="60"/>
        <w:rPr>
          <w:lang w:val="fr-FR"/>
        </w:rPr>
      </w:pPr>
      <w:r w:rsidRPr="000861E6">
        <w:rPr>
          <w:lang w:val="fr-FR"/>
        </w:rPr>
        <w:t>La gestion de patrimoine vise à construire et piloter une stratégie patrimoniale globale, personnalisée selon la situation et les objectifs de vie du client.</w:t>
      </w:r>
    </w:p>
    <w:p w14:paraId="3E5CDF92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Réunion de plusieurs sociétés au sein du groupe Crystal (3 entités associées)</w:t>
      </w:r>
    </w:p>
    <w:p w14:paraId="0BF9BD95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Présence de solutions digitales via deux filiales spécialisées :</w:t>
      </w:r>
    </w:p>
    <w:p w14:paraId="06EAB2EE" w14:textId="77777777" w:rsidR="00A13E53" w:rsidRPr="000861E6" w:rsidRDefault="00000000">
      <w:pPr>
        <w:pStyle w:val="ListParagraph"/>
        <w:numPr>
          <w:ilvl w:val="0"/>
          <w:numId w:val="3"/>
        </w:numPr>
        <w:spacing w:after="30"/>
        <w:rPr>
          <w:lang w:val="fr-FR"/>
        </w:rPr>
      </w:pPr>
      <w:r w:rsidRPr="000861E6">
        <w:rPr>
          <w:lang w:val="fr-FR"/>
        </w:rPr>
        <w:t>Zenith : conception de solutions digitales et distribution aux CGP</w:t>
      </w:r>
    </w:p>
    <w:p w14:paraId="74DF17F8" w14:textId="77777777" w:rsidR="00A13E53" w:rsidRPr="000861E6" w:rsidRDefault="00000000">
      <w:pPr>
        <w:pStyle w:val="ListParagraph"/>
        <w:numPr>
          <w:ilvl w:val="0"/>
          <w:numId w:val="3"/>
        </w:numPr>
        <w:spacing w:after="30"/>
        <w:rPr>
          <w:lang w:val="fr-FR"/>
        </w:rPr>
      </w:pPr>
      <w:r w:rsidRPr="000861E6">
        <w:rPr>
          <w:lang w:val="fr-FR"/>
        </w:rPr>
        <w:t>Khalix : fintech dédiée à la digitalisation de l'activité du CGP</w:t>
      </w:r>
    </w:p>
    <w:p w14:paraId="2DA7782F" w14:textId="77777777" w:rsidR="00A13E53" w:rsidRPr="000861E6" w:rsidRDefault="00A13E53">
      <w:pPr>
        <w:spacing w:after="80"/>
        <w:rPr>
          <w:lang w:val="fr-FR"/>
        </w:rPr>
      </w:pPr>
    </w:p>
    <w:p w14:paraId="0CBA7CEB" w14:textId="77777777" w:rsidR="00A13E53" w:rsidRPr="000861E6" w:rsidRDefault="00000000">
      <w:pPr>
        <w:pStyle w:val="Heading2"/>
        <w:rPr>
          <w:lang w:val="fr-FR"/>
        </w:rPr>
      </w:pPr>
      <w:r w:rsidRPr="000861E6">
        <w:rPr>
          <w:lang w:val="fr-FR"/>
        </w:rPr>
        <w:t>Expertise du groupe</w:t>
      </w:r>
    </w:p>
    <w:p w14:paraId="6956EEAD" w14:textId="77777777" w:rsidR="00A13E53" w:rsidRPr="000861E6" w:rsidRDefault="00000000">
      <w:pPr>
        <w:spacing w:after="60"/>
        <w:rPr>
          <w:lang w:val="fr-FR"/>
        </w:rPr>
      </w:pPr>
      <w:r w:rsidRPr="000861E6">
        <w:rPr>
          <w:lang w:val="fr-FR"/>
        </w:rPr>
        <w:t>Le groupe intervient sur l'ensemble du spectre patrimonial, en accompagnant le client tout au long de sa vie :</w:t>
      </w:r>
    </w:p>
    <w:p w14:paraId="470F629A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Conseil &amp; Ingénierie Patrimoniale : construction de la stratégie globale</w:t>
      </w:r>
    </w:p>
    <w:p w14:paraId="34467C2C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Aspects sociaux : optimisation de la protection sociale, packages salariaux</w:t>
      </w:r>
    </w:p>
    <w:p w14:paraId="0F166FBD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Aspects civils : organisation de la transmission et protection des proches</w:t>
      </w:r>
    </w:p>
    <w:p w14:paraId="6AC971A3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Aspects immobiliers : cession à soi-même, valorisation, amortissement</w:t>
      </w:r>
    </w:p>
    <w:p w14:paraId="4D195B19" w14:textId="77777777" w:rsidR="00A13E53" w:rsidRPr="000861E6" w:rsidRDefault="00A13E53">
      <w:pPr>
        <w:spacing w:after="80"/>
        <w:rPr>
          <w:lang w:val="fr-FR"/>
        </w:rPr>
      </w:pPr>
    </w:p>
    <w:p w14:paraId="60C8A2AD" w14:textId="77777777" w:rsidR="00A13E53" w:rsidRDefault="00000000">
      <w:pPr>
        <w:pStyle w:val="Heading2"/>
      </w:pPr>
      <w:r>
        <w:t>Approche client</w:t>
      </w:r>
    </w:p>
    <w:p w14:paraId="0C15A376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Audit patrimonial structuré en 7 axes de suivi (social, fiscal, civil, immobilier, retraite, prévoyance, transmission)</w:t>
      </w:r>
    </w:p>
    <w:p w14:paraId="352CACD3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Lettre de mission formalisée lors de la phase de découverte</w:t>
      </w:r>
    </w:p>
    <w:p w14:paraId="0DEEF505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Interprofessionnalité : collaboration avec notaires, avocats, experts-comptables</w:t>
      </w:r>
    </w:p>
    <w:p w14:paraId="233A768B" w14:textId="77777777" w:rsidR="00A13E53" w:rsidRPr="000861E6" w:rsidRDefault="00A13E53">
      <w:pPr>
        <w:spacing w:after="80"/>
        <w:rPr>
          <w:lang w:val="fr-FR"/>
        </w:rPr>
      </w:pPr>
    </w:p>
    <w:p w14:paraId="14E26F0B" w14:textId="77777777" w:rsidR="00A13E53" w:rsidRPr="000861E6" w:rsidRDefault="00000000">
      <w:pPr>
        <w:pStyle w:val="Heading1"/>
        <w:pBdr>
          <w:bottom w:val="single" w:sz="4" w:space="4" w:color="1F3864"/>
        </w:pBdr>
        <w:rPr>
          <w:lang w:val="fr-FR"/>
        </w:rPr>
      </w:pPr>
      <w:r w:rsidRPr="000861E6">
        <w:rPr>
          <w:lang w:val="fr-FR"/>
        </w:rPr>
        <w:t>2. Développer, Protéger, Transmettre</w:t>
      </w:r>
    </w:p>
    <w:p w14:paraId="4DCAA37B" w14:textId="77777777" w:rsidR="00A13E53" w:rsidRPr="000861E6" w:rsidRDefault="00000000">
      <w:pPr>
        <w:pStyle w:val="Heading2"/>
        <w:rPr>
          <w:lang w:val="fr-FR"/>
        </w:rPr>
      </w:pPr>
      <w:r w:rsidRPr="000861E6">
        <w:rPr>
          <w:lang w:val="fr-FR"/>
        </w:rPr>
        <w:t>Développer &amp; protéger au cœur de l'entreprise</w:t>
      </w:r>
    </w:p>
    <w:p w14:paraId="71EE7F25" w14:textId="77777777" w:rsidR="00A13E53" w:rsidRPr="000861E6" w:rsidRDefault="00000000">
      <w:pPr>
        <w:spacing w:after="60"/>
        <w:rPr>
          <w:lang w:val="fr-FR"/>
        </w:rPr>
      </w:pPr>
      <w:r w:rsidRPr="000861E6">
        <w:rPr>
          <w:lang w:val="fr-FR"/>
        </w:rPr>
        <w:t>La stratégie patrimoniale s'articule autour de la structure de détention et des outils juridiques adaptés à chaque étape de la vie de l'entrepreneur.</w:t>
      </w:r>
    </w:p>
    <w:p w14:paraId="6590A9FF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Holding patrimoniale : outil central pour la gestion de trésorerie, l'acquisition et la transmission</w:t>
      </w:r>
    </w:p>
    <w:p w14:paraId="79D689B4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Sociétés filiales associées pour optimiser la détention des actifs</w:t>
      </w:r>
    </w:p>
    <w:p w14:paraId="366DB813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GAP (Garantie d'Actif et de Passif) : protection de l'acheteur lors d'une cession</w:t>
      </w:r>
    </w:p>
    <w:p w14:paraId="2A3B8A25" w14:textId="77777777" w:rsidR="00A13E53" w:rsidRDefault="00000000">
      <w:pPr>
        <w:pStyle w:val="ListParagraph"/>
        <w:numPr>
          <w:ilvl w:val="0"/>
          <w:numId w:val="3"/>
        </w:numPr>
        <w:spacing w:after="30"/>
      </w:pPr>
      <w:r>
        <w:t>Co-garantie et stabilisation financière</w:t>
      </w:r>
    </w:p>
    <w:p w14:paraId="492F6DBB" w14:textId="77777777" w:rsidR="00A13E53" w:rsidRPr="000861E6" w:rsidRDefault="00000000">
      <w:pPr>
        <w:pStyle w:val="ListParagraph"/>
        <w:numPr>
          <w:ilvl w:val="0"/>
          <w:numId w:val="3"/>
        </w:numPr>
        <w:spacing w:after="30"/>
        <w:rPr>
          <w:lang w:val="fr-FR"/>
        </w:rPr>
      </w:pPr>
      <w:r w:rsidRPr="000861E6">
        <w:rPr>
          <w:lang w:val="fr-FR"/>
        </w:rPr>
        <w:t>Caution garantie sur l'activité du gérant et les engagements de passif</w:t>
      </w:r>
    </w:p>
    <w:p w14:paraId="3B9172EE" w14:textId="77777777" w:rsidR="00A13E53" w:rsidRPr="000861E6" w:rsidRDefault="00A13E53">
      <w:pPr>
        <w:spacing w:after="80"/>
        <w:rPr>
          <w:lang w:val="fr-FR"/>
        </w:rPr>
      </w:pPr>
    </w:p>
    <w:p w14:paraId="55F2DFB0" w14:textId="77777777" w:rsidR="00A13E53" w:rsidRDefault="00000000">
      <w:pPr>
        <w:pStyle w:val="Heading2"/>
      </w:pPr>
      <w:r>
        <w:t>Protection des actifs</w:t>
      </w:r>
    </w:p>
    <w:p w14:paraId="617C4ADC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Contrats de prévoyance : maintien de continuité de l'entreprise en cas d'aléas</w:t>
      </w:r>
    </w:p>
    <w:p w14:paraId="7850D7A6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Assurance décès : soutien financier aux proches et à la famille</w:t>
      </w:r>
    </w:p>
    <w:p w14:paraId="506DF390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Assurance vie (contrat) : capitalisation et transmission hors succession</w:t>
      </w:r>
    </w:p>
    <w:p w14:paraId="2525C9AF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Pacte Dutreil : facilite la transmission d'entreprise avec une réduction significative des droits de succession</w:t>
      </w:r>
    </w:p>
    <w:p w14:paraId="35B70768" w14:textId="77777777" w:rsidR="00A13E53" w:rsidRPr="000861E6" w:rsidRDefault="00A13E53">
      <w:pPr>
        <w:spacing w:after="80"/>
        <w:rPr>
          <w:lang w:val="fr-FR"/>
        </w:rPr>
      </w:pPr>
    </w:p>
    <w:p w14:paraId="49A3E989" w14:textId="77777777" w:rsidR="00A13E53" w:rsidRDefault="00000000">
      <w:pPr>
        <w:pStyle w:val="Heading2"/>
      </w:pPr>
      <w:r>
        <w:t>Préparer sa retraite</w:t>
      </w:r>
    </w:p>
    <w:p w14:paraId="304314EC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Anticiper en amont (6 mois minimum avant la liquidation)</w:t>
      </w:r>
    </w:p>
    <w:p w14:paraId="188667A5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Outils mobilisables :</w:t>
      </w:r>
    </w:p>
    <w:p w14:paraId="7742EA79" w14:textId="77777777" w:rsidR="00A13E53" w:rsidRDefault="00000000">
      <w:pPr>
        <w:pStyle w:val="ListParagraph"/>
        <w:numPr>
          <w:ilvl w:val="0"/>
          <w:numId w:val="3"/>
        </w:numPr>
        <w:spacing w:after="30"/>
      </w:pPr>
      <w:r>
        <w:t>Assurance vie</w:t>
      </w:r>
    </w:p>
    <w:p w14:paraId="5D2A1360" w14:textId="77777777" w:rsidR="00A13E53" w:rsidRDefault="00000000">
      <w:pPr>
        <w:pStyle w:val="ListParagraph"/>
        <w:numPr>
          <w:ilvl w:val="0"/>
          <w:numId w:val="3"/>
        </w:numPr>
        <w:spacing w:after="30"/>
      </w:pPr>
      <w:r>
        <w:t>PER (Plan Épargne Retraite)</w:t>
      </w:r>
    </w:p>
    <w:p w14:paraId="3236279D" w14:textId="77777777" w:rsidR="00A13E53" w:rsidRPr="000861E6" w:rsidRDefault="00000000">
      <w:pPr>
        <w:pStyle w:val="ListParagraph"/>
        <w:numPr>
          <w:ilvl w:val="0"/>
          <w:numId w:val="3"/>
        </w:numPr>
        <w:spacing w:after="30"/>
        <w:rPr>
          <w:lang w:val="fr-FR"/>
        </w:rPr>
      </w:pPr>
      <w:r w:rsidRPr="000861E6">
        <w:rPr>
          <w:lang w:val="fr-FR"/>
        </w:rPr>
        <w:t>Investissements immobiliers : foncier, SCI, dispositifs défiscalisants</w:t>
      </w:r>
    </w:p>
    <w:p w14:paraId="629A6E6D" w14:textId="77777777" w:rsidR="00A13E53" w:rsidRPr="000861E6" w:rsidRDefault="00A13E53">
      <w:pPr>
        <w:spacing w:after="80"/>
        <w:rPr>
          <w:lang w:val="fr-FR"/>
        </w:rPr>
      </w:pPr>
    </w:p>
    <w:p w14:paraId="598B34DF" w14:textId="77777777" w:rsidR="00A13E53" w:rsidRDefault="00000000">
      <w:pPr>
        <w:pStyle w:val="Heading2"/>
      </w:pPr>
      <w:r>
        <w:t>Transmettre &amp; protéger ses proches</w:t>
      </w:r>
    </w:p>
    <w:p w14:paraId="4C7830B8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Pleine propriété vs démembrement (usufruitier / nu-propriétaire)</w:t>
      </w:r>
    </w:p>
    <w:p w14:paraId="39F1D74A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Société patrimoniale (SCI, Holding familiale) : transmission + optimisation fiscale</w:t>
      </w:r>
    </w:p>
    <w:p w14:paraId="0DDD0090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Régimes matrimoniaux et protections civiles selon la situation personnelle</w:t>
      </w:r>
    </w:p>
    <w:p w14:paraId="726B3D25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Anticipation des avantages fiscaux de succession : transmission du vivant</w:t>
      </w:r>
    </w:p>
    <w:p w14:paraId="1715B46C" w14:textId="77777777" w:rsidR="00A13E53" w:rsidRPr="000861E6" w:rsidRDefault="00A13E53">
      <w:pPr>
        <w:spacing w:after="80"/>
        <w:rPr>
          <w:lang w:val="fr-FR"/>
        </w:rPr>
      </w:pPr>
    </w:p>
    <w:p w14:paraId="36B75001" w14:textId="77777777" w:rsidR="00A13E53" w:rsidRPr="000861E6" w:rsidRDefault="00000000">
      <w:pPr>
        <w:pStyle w:val="Heading1"/>
        <w:pBdr>
          <w:bottom w:val="single" w:sz="4" w:space="4" w:color="1F3864"/>
        </w:pBdr>
        <w:rPr>
          <w:lang w:val="fr-FR"/>
        </w:rPr>
      </w:pPr>
      <w:r w:rsidRPr="000861E6">
        <w:rPr>
          <w:lang w:val="fr-FR"/>
        </w:rPr>
        <w:t>3. International &amp; Démembrement de Propriété</w:t>
      </w:r>
    </w:p>
    <w:p w14:paraId="3184F5C1" w14:textId="77777777" w:rsidR="00A13E53" w:rsidRPr="000861E6" w:rsidRDefault="00000000">
      <w:pPr>
        <w:pStyle w:val="Heading2"/>
        <w:rPr>
          <w:lang w:val="fr-FR"/>
        </w:rPr>
      </w:pPr>
      <w:r w:rsidRPr="000861E6">
        <w:rPr>
          <w:lang w:val="fr-FR"/>
        </w:rPr>
        <w:t>Dimension internationale</w:t>
      </w:r>
    </w:p>
    <w:p w14:paraId="54D4BA37" w14:textId="77777777" w:rsidR="00A13E53" w:rsidRDefault="00000000">
      <w:pPr>
        <w:spacing w:after="60"/>
      </w:pPr>
      <w:r w:rsidRPr="000861E6">
        <w:rPr>
          <w:lang w:val="fr-FR"/>
        </w:rPr>
        <w:t xml:space="preserve">La dimension internationale est un axe croissant pour les clients à patrimoine transfrontalier. </w:t>
      </w:r>
      <w:r>
        <w:t>L'approche passe par un audit préalable structuré.</w:t>
      </w:r>
    </w:p>
    <w:p w14:paraId="7FF8A64B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Méthodoscope : outil structurant l'approche stratégique internationale</w:t>
      </w:r>
    </w:p>
    <w:p w14:paraId="0110950B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Problématiques spécifiques : régimes matrimoniaux étrangers, fiscalité de l'expatriation</w:t>
      </w:r>
    </w:p>
    <w:p w14:paraId="74327BF8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Protection sociale à l'installation à l'étranger : signaler les changements à l'administration française</w:t>
      </w:r>
    </w:p>
    <w:p w14:paraId="4FCAC30B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Avantages fiscaux possibles pour les non-résidents investissant en France (sous conditions)</w:t>
      </w:r>
    </w:p>
    <w:p w14:paraId="30A95C3B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Solutions immobilières pour expatriés : SCPI, foncier professionnel, résidence fiscale déterminée</w:t>
      </w:r>
    </w:p>
    <w:p w14:paraId="6C44181A" w14:textId="77777777" w:rsidR="00A13E53" w:rsidRPr="000861E6" w:rsidRDefault="00A13E53">
      <w:pPr>
        <w:spacing w:after="80"/>
        <w:rPr>
          <w:lang w:val="fr-FR"/>
        </w:rPr>
      </w:pPr>
    </w:p>
    <w:p w14:paraId="0B5D8107" w14:textId="77777777" w:rsidR="00A13E53" w:rsidRDefault="00000000">
      <w:pPr>
        <w:pStyle w:val="Heading2"/>
      </w:pPr>
      <w:r>
        <w:t>Optimiser sa fiscalité</w:t>
      </w:r>
    </w:p>
    <w:p w14:paraId="1D2BAC75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Arbitrage IR vs IS selon la situation</w:t>
      </w:r>
    </w:p>
    <w:p w14:paraId="2F83BFD9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Réduction de l'impôt sur le revenu foncier et la taxe immobilière</w:t>
      </w:r>
    </w:p>
    <w:p w14:paraId="6C63BC46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Modèles de détention : via sociétés organisant la fiscalité</w:t>
      </w:r>
    </w:p>
    <w:p w14:paraId="493ABE78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Stabilité économique et politique sociale au Luxembourg → stratégies de placement</w:t>
      </w:r>
    </w:p>
    <w:p w14:paraId="6DA9D0CA" w14:textId="77777777" w:rsidR="00A13E53" w:rsidRPr="000861E6" w:rsidRDefault="00A13E53">
      <w:pPr>
        <w:spacing w:after="80"/>
        <w:rPr>
          <w:lang w:val="fr-FR"/>
        </w:rPr>
      </w:pPr>
    </w:p>
    <w:p w14:paraId="26BBD55D" w14:textId="77777777" w:rsidR="00A13E53" w:rsidRDefault="00000000">
      <w:pPr>
        <w:pStyle w:val="Heading2"/>
      </w:pPr>
      <w:r>
        <w:t>Implantations &amp; interprofessionnalité</w:t>
      </w:r>
    </w:p>
    <w:p w14:paraId="0EF50D8E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France + International</w:t>
      </w:r>
    </w:p>
    <w:p w14:paraId="6A15BFF9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Structuration des cabinets partenaires</w:t>
      </w:r>
    </w:p>
    <w:p w14:paraId="5F72A6EC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Formation de collaborateurs et accompagnement continu</w:t>
      </w:r>
    </w:p>
    <w:p w14:paraId="4C7A820D" w14:textId="77777777" w:rsidR="00A13E53" w:rsidRPr="000861E6" w:rsidRDefault="00A13E53">
      <w:pPr>
        <w:spacing w:after="80"/>
        <w:rPr>
          <w:lang w:val="fr-FR"/>
        </w:rPr>
      </w:pPr>
    </w:p>
    <w:p w14:paraId="12DC1028" w14:textId="77777777" w:rsidR="00A13E53" w:rsidRPr="000861E6" w:rsidRDefault="00000000">
      <w:pPr>
        <w:pStyle w:val="Heading1"/>
        <w:pBdr>
          <w:bottom w:val="single" w:sz="4" w:space="4" w:color="1F3864"/>
        </w:pBdr>
        <w:rPr>
          <w:lang w:val="fr-FR"/>
        </w:rPr>
      </w:pPr>
      <w:r w:rsidRPr="000861E6">
        <w:rPr>
          <w:lang w:val="fr-FR"/>
        </w:rPr>
        <w:t>4. Conseil &amp; Ingénierie Financière — Produits &amp; Solutions</w:t>
      </w:r>
    </w:p>
    <w:p w14:paraId="1F64836F" w14:textId="77777777" w:rsidR="00A13E53" w:rsidRPr="000861E6" w:rsidRDefault="00000000">
      <w:pPr>
        <w:pStyle w:val="Heading2"/>
        <w:rPr>
          <w:lang w:val="fr-FR"/>
        </w:rPr>
      </w:pPr>
      <w:r w:rsidRPr="000861E6">
        <w:rPr>
          <w:lang w:val="fr-FR"/>
        </w:rPr>
        <w:t>Profils clients</w:t>
      </w:r>
    </w:p>
    <w:p w14:paraId="6E12F5F0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CFO d'entreprise : gestion du patrimoine personnel en parallèle de l'activité professionnelle</w:t>
      </w:r>
    </w:p>
    <w:p w14:paraId="6871F65D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Associations et Fondations : définition des objectifs, stratégie de sélection, diagnostic de portefeuille</w:t>
      </w:r>
    </w:p>
    <w:p w14:paraId="7705497D" w14:textId="77777777" w:rsidR="00A13E53" w:rsidRPr="000861E6" w:rsidRDefault="00A13E53">
      <w:pPr>
        <w:spacing w:after="80"/>
        <w:rPr>
          <w:lang w:val="fr-FR"/>
        </w:rPr>
      </w:pPr>
    </w:p>
    <w:p w14:paraId="20E13C58" w14:textId="77777777" w:rsidR="00A13E53" w:rsidRDefault="00000000">
      <w:pPr>
        <w:pStyle w:val="Heading2"/>
      </w:pPr>
      <w:r>
        <w:t>Gestion de trésorerie</w:t>
      </w:r>
    </w:p>
    <w:p w14:paraId="7BD4C013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Produits structurés</w:t>
      </w:r>
    </w:p>
    <w:p w14:paraId="2BD99D61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Private Equity</w:t>
      </w:r>
    </w:p>
    <w:p w14:paraId="56774B1C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Contrats de capitalisation</w:t>
      </w:r>
    </w:p>
    <w:p w14:paraId="398945D7" w14:textId="77777777" w:rsidR="00A13E53" w:rsidRPr="000861E6" w:rsidRDefault="00000000">
      <w:pPr>
        <w:spacing w:after="60"/>
        <w:ind w:left="360"/>
        <w:rPr>
          <w:lang w:val="fr-FR"/>
        </w:rPr>
      </w:pPr>
      <w:r>
        <w:t>💡</w:t>
      </w:r>
      <w:r w:rsidRPr="000861E6">
        <w:rPr>
          <w:lang w:val="fr-FR"/>
        </w:rPr>
        <w:t xml:space="preserve"> </w:t>
      </w:r>
      <w:r w:rsidRPr="000861E6">
        <w:rPr>
          <w:i/>
          <w:iCs/>
          <w:color w:val="555555"/>
          <w:lang w:val="fr-FR"/>
        </w:rPr>
        <w:t>La trésorerie d'entreprise peut être investie dans des véhicules patrimoniaux optimisés fiscalement.</w:t>
      </w:r>
    </w:p>
    <w:p w14:paraId="62492CAF" w14:textId="77777777" w:rsidR="00A13E53" w:rsidRPr="000861E6" w:rsidRDefault="00A13E53">
      <w:pPr>
        <w:spacing w:after="80"/>
        <w:rPr>
          <w:lang w:val="fr-FR"/>
        </w:rPr>
      </w:pPr>
    </w:p>
    <w:p w14:paraId="2C441EC6" w14:textId="77777777" w:rsidR="00A13E53" w:rsidRDefault="00000000">
      <w:pPr>
        <w:pStyle w:val="Heading2"/>
      </w:pPr>
      <w:r>
        <w:t>Solutions</w:t>
      </w:r>
    </w:p>
    <w:p w14:paraId="4C5D6CAB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Analyser la situation globale et proposer des solutions patrimoniales sur-mesure</w:t>
      </w:r>
    </w:p>
    <w:p w14:paraId="371EB4B0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Solutions immobilières : SCPI, foncier professionnel, structures pour expatriés</w:t>
      </w:r>
    </w:p>
    <w:p w14:paraId="3006923D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Protection : propositions de solutions fonctionnelles selon le profil</w:t>
      </w:r>
    </w:p>
    <w:p w14:paraId="072500E3" w14:textId="77777777" w:rsidR="00A13E53" w:rsidRPr="000861E6" w:rsidRDefault="00A13E53">
      <w:pPr>
        <w:spacing w:after="80"/>
        <w:rPr>
          <w:lang w:val="fr-FR"/>
        </w:rPr>
      </w:pPr>
    </w:p>
    <w:p w14:paraId="319FA5F6" w14:textId="77777777" w:rsidR="00A13E53" w:rsidRPr="000861E6" w:rsidRDefault="00000000">
      <w:pPr>
        <w:pStyle w:val="Heading1"/>
        <w:pBdr>
          <w:bottom w:val="single" w:sz="4" w:space="4" w:color="1F3864"/>
        </w:pBdr>
        <w:rPr>
          <w:lang w:val="fr-FR"/>
        </w:rPr>
      </w:pPr>
      <w:r w:rsidRPr="000861E6">
        <w:rPr>
          <w:lang w:val="fr-FR"/>
        </w:rPr>
        <w:t>5. Revenus &amp; Succession — Assurance Vie</w:t>
      </w:r>
    </w:p>
    <w:p w14:paraId="54AE8943" w14:textId="77777777" w:rsidR="00A13E53" w:rsidRPr="000861E6" w:rsidRDefault="00000000">
      <w:pPr>
        <w:pStyle w:val="Heading2"/>
        <w:rPr>
          <w:lang w:val="fr-FR"/>
        </w:rPr>
      </w:pPr>
      <w:r w:rsidRPr="000861E6">
        <w:rPr>
          <w:lang w:val="fr-FR"/>
        </w:rPr>
        <w:t>Assurance Vie</w:t>
      </w:r>
    </w:p>
    <w:p w14:paraId="46D4A056" w14:textId="77777777" w:rsidR="00A13E53" w:rsidRPr="000861E6" w:rsidRDefault="00000000">
      <w:pPr>
        <w:spacing w:after="60"/>
        <w:rPr>
          <w:lang w:val="fr-FR"/>
        </w:rPr>
      </w:pPr>
      <w:r w:rsidRPr="000861E6">
        <w:rPr>
          <w:lang w:val="fr-FR"/>
        </w:rPr>
        <w:t>L'assurance vie est un outil polyvalent, à la fois support d'épargne, de capitalisation et de transmission patrimoniale hors succession.</w:t>
      </w:r>
    </w:p>
    <w:p w14:paraId="6617EAA4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Capital versé à un ou plusieurs bénéficiaires désignés</w:t>
      </w:r>
    </w:p>
    <w:p w14:paraId="3E9188E5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Fiscalité avantageuse sur les primes versées avant 70 ans</w:t>
      </w:r>
    </w:p>
    <w:p w14:paraId="703D8192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Abattement de 152 500 € par bénéficiaire (primes avant 70 ans)</w:t>
      </w:r>
    </w:p>
    <w:p w14:paraId="02A0A9B7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Primes après 70 ans : abattement global de 30 500 € + exonération des intérêts</w:t>
      </w:r>
    </w:p>
    <w:p w14:paraId="689B85B4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Plusieurs supports disponibles : fonds en euros, unités de compte</w:t>
      </w:r>
    </w:p>
    <w:p w14:paraId="31653B63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Choisir les bénéficiaires permet de reporter l'imposition (hors succession)</w:t>
      </w:r>
    </w:p>
    <w:p w14:paraId="13A40C26" w14:textId="77777777" w:rsidR="00A13E53" w:rsidRPr="000861E6" w:rsidRDefault="00A13E53">
      <w:pPr>
        <w:spacing w:after="80"/>
        <w:rPr>
          <w:lang w:val="fr-FR"/>
        </w:rPr>
      </w:pPr>
    </w:p>
    <w:p w14:paraId="1772D6B6" w14:textId="77777777" w:rsidR="00A13E53" w:rsidRDefault="00000000">
      <w:pPr>
        <w:pStyle w:val="Heading2"/>
      </w:pPr>
      <w:r>
        <w:t>Contrat de capitalisation</w:t>
      </w:r>
    </w:p>
    <w:p w14:paraId="2BA3D3D8" w14:textId="77777777" w:rsidR="00A13E53" w:rsidRPr="000861E6" w:rsidRDefault="00000000">
      <w:pPr>
        <w:pStyle w:val="ListParagraph"/>
        <w:numPr>
          <w:ilvl w:val="0"/>
          <w:numId w:val="2"/>
        </w:numPr>
        <w:spacing w:after="40"/>
        <w:rPr>
          <w:lang w:val="fr-FR"/>
        </w:rPr>
      </w:pPr>
      <w:r w:rsidRPr="000861E6">
        <w:rPr>
          <w:lang w:val="fr-FR"/>
        </w:rPr>
        <w:t>Réservé aux personnes morales soumises à l'IS</w:t>
      </w:r>
    </w:p>
    <w:p w14:paraId="4702C322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Bon de capitalisation nominatif</w:t>
      </w:r>
    </w:p>
    <w:p w14:paraId="5004DBFF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Possibilité de rachat partiel ou total</w:t>
      </w:r>
    </w:p>
    <w:p w14:paraId="6578AE03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Les parts ne sont pas transmissibles à des bénéficiaires comme l'assurance vie</w:t>
      </w:r>
    </w:p>
    <w:p w14:paraId="61B883E7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Imposition en cas de donation du vivant</w:t>
      </w:r>
    </w:p>
    <w:p w14:paraId="7EA91473" w14:textId="77777777" w:rsidR="00A13E53" w:rsidRDefault="00A13E53">
      <w:pPr>
        <w:spacing w:after="80"/>
      </w:pPr>
    </w:p>
    <w:p w14:paraId="37827052" w14:textId="77777777" w:rsidR="00A13E53" w:rsidRDefault="00000000">
      <w:pPr>
        <w:pStyle w:val="Heading2"/>
      </w:pPr>
      <w:r>
        <w:t>Expatriation</w:t>
      </w:r>
    </w:p>
    <w:p w14:paraId="221BCCE3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Avant le départ : signaler sa situation à l'administration fiscale française</w:t>
      </w:r>
    </w:p>
    <w:p w14:paraId="1F8FE4CD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Nouveau régime fiscal à l'arrivée dans le pays d'accueil</w:t>
      </w:r>
    </w:p>
    <w:p w14:paraId="6E49591F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Impacts spécifiques pour les expatriés : contributions sociales, déclarations</w:t>
      </w:r>
    </w:p>
    <w:p w14:paraId="0EECF380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Changements en matière de prévoyance à anticiper</w:t>
      </w:r>
    </w:p>
    <w:p w14:paraId="334624EE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Investissement en France depuis l'étranger : avantages fiscaux possibles sous conditions</w:t>
      </w:r>
    </w:p>
    <w:p w14:paraId="2503977A" w14:textId="77777777" w:rsidR="00A13E53" w:rsidRDefault="00A13E53">
      <w:pPr>
        <w:spacing w:after="80"/>
      </w:pPr>
    </w:p>
    <w:p w14:paraId="15D6F512" w14:textId="77777777" w:rsidR="00A13E53" w:rsidRDefault="00000000">
      <w:pPr>
        <w:pStyle w:val="Heading1"/>
        <w:pBdr>
          <w:bottom w:val="single" w:sz="4" w:space="4" w:color="1F3864"/>
        </w:pBdr>
      </w:pPr>
      <w:r>
        <w:t>6. Placements Financiers — Assurance Vie &amp; PER</w:t>
      </w:r>
    </w:p>
    <w:p w14:paraId="72846D88" w14:textId="77777777" w:rsidR="00A13E53" w:rsidRDefault="00000000">
      <w:pPr>
        <w:pStyle w:val="Heading2"/>
      </w:pPr>
      <w:r>
        <w:t>Contrat d'assurance vie — rappel technique</w:t>
      </w:r>
    </w:p>
    <w:p w14:paraId="5D6AEADF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lastRenderedPageBreak/>
        <w:t>Sommes versées : capitalisation avec désignation de bénéficiaire</w:t>
      </w:r>
    </w:p>
    <w:p w14:paraId="69C15F93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Impôts sur les intérêts dégressifs au fur et à mesure des rachats</w:t>
      </w:r>
    </w:p>
    <w:p w14:paraId="3A7C8031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Règle des 8 ans : fiscalité allégée sur les rachats</w:t>
      </w:r>
    </w:p>
    <w:p w14:paraId="554E9FF5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Abattement annuel : 4 600 € (personne seule) / 9 200 € (couple)</w:t>
      </w:r>
    </w:p>
    <w:p w14:paraId="445B50C5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Au-delà : prélèvement forfaitaire unique (PFU) ou barème IR au choix</w:t>
      </w:r>
    </w:p>
    <w:p w14:paraId="7E367C71" w14:textId="77777777" w:rsidR="00A13E53" w:rsidRDefault="00A13E53">
      <w:pPr>
        <w:spacing w:after="80"/>
      </w:pPr>
    </w:p>
    <w:p w14:paraId="0B50E3F4" w14:textId="77777777" w:rsidR="00A13E53" w:rsidRDefault="00000000">
      <w:pPr>
        <w:pStyle w:val="Heading2"/>
      </w:pPr>
      <w:r>
        <w:t>PER — Plan d'Épargne Retraite</w:t>
      </w:r>
    </w:p>
    <w:p w14:paraId="3945C682" w14:textId="77777777" w:rsidR="00A13E53" w:rsidRDefault="00000000">
      <w:pPr>
        <w:spacing w:after="60"/>
      </w:pPr>
      <w:r>
        <w:t>Le PER est l'outil principal de préparation à la retraite depuis la loi PACTE. Il remplace progressivement les anciens dispositifs (PERP, Madelin, article 83).</w:t>
      </w:r>
    </w:p>
    <w:p w14:paraId="44DD2BEA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PER Individuel (PERIN) : souscrit à titre privé</w:t>
      </w:r>
    </w:p>
    <w:p w14:paraId="73EA7CCE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PER Collectif (PERCOL) : mis en place au sein de l'entreprise, participation facultative</w:t>
      </w:r>
    </w:p>
    <w:p w14:paraId="05C2F203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PER Obligatoire (PERO) : cotisations obligatoires pour certaines catégories de salariés</w:t>
      </w:r>
    </w:p>
    <w:p w14:paraId="22CB0448" w14:textId="77777777" w:rsidR="00A13E53" w:rsidRDefault="00A13E53">
      <w:pPr>
        <w:spacing w:after="80"/>
      </w:pPr>
    </w:p>
    <w:p w14:paraId="616FF18E" w14:textId="77777777" w:rsidR="00A13E53" w:rsidRDefault="00000000">
      <w:pPr>
        <w:spacing w:before="160" w:after="60"/>
      </w:pPr>
      <w:r>
        <w:rPr>
          <w:b/>
          <w:bCs/>
          <w:color w:val="2E4053"/>
          <w:sz w:val="22"/>
          <w:szCs w:val="22"/>
        </w:rPr>
        <w:t>Les 3 compartiments du PER</w:t>
      </w:r>
    </w:p>
    <w:p w14:paraId="1E92C5A8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C1 — Versements volontaires (déductibles du revenu imposable)</w:t>
      </w:r>
    </w:p>
    <w:p w14:paraId="7FB5752D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C2 — Épargne salariale : intéressement, participation, abondement</w:t>
      </w:r>
    </w:p>
    <w:p w14:paraId="6F5D338F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C3 — Cotisations obligatoires employeur et salarié</w:t>
      </w:r>
    </w:p>
    <w:p w14:paraId="658FEAA9" w14:textId="77777777" w:rsidR="00A13E53" w:rsidRDefault="00000000">
      <w:pPr>
        <w:spacing w:after="60"/>
        <w:ind w:left="360"/>
      </w:pPr>
      <w:r>
        <w:t xml:space="preserve">💡 </w:t>
      </w:r>
      <w:r>
        <w:rPr>
          <w:i/>
          <w:iCs/>
          <w:color w:val="555555"/>
        </w:rPr>
        <w:t>La fiscalité à l'entrée dépend du compartiment d'origine du versement.</w:t>
      </w:r>
    </w:p>
    <w:p w14:paraId="5D2A3D05" w14:textId="77777777" w:rsidR="00A13E53" w:rsidRDefault="00A13E53">
      <w:pPr>
        <w:spacing w:after="80"/>
      </w:pPr>
    </w:p>
    <w:p w14:paraId="3873CAAC" w14:textId="77777777" w:rsidR="00A13E53" w:rsidRDefault="00000000">
      <w:pPr>
        <w:pStyle w:val="Heading2"/>
      </w:pPr>
      <w:r>
        <w:t>Retraite — Anticiper</w:t>
      </w:r>
    </w:p>
    <w:p w14:paraId="4D330ADD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Bilan retraite à réaliser au moins 6 mois avant la liquidation</w:t>
      </w:r>
    </w:p>
    <w:p w14:paraId="3A34AD15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Identifier les contraintes et les revenus attendus</w:t>
      </w:r>
    </w:p>
    <w:p w14:paraId="11E0CE95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Compléter avec des placements adaptés : assurance vie, immobilier, PER</w:t>
      </w:r>
    </w:p>
    <w:p w14:paraId="7861D655" w14:textId="77777777" w:rsidR="00A13E53" w:rsidRDefault="00A13E53">
      <w:pPr>
        <w:spacing w:after="80"/>
      </w:pPr>
    </w:p>
    <w:p w14:paraId="5C688186" w14:textId="77777777" w:rsidR="00A13E53" w:rsidRDefault="00000000">
      <w:pPr>
        <w:pStyle w:val="Heading2"/>
      </w:pPr>
      <w:r>
        <w:t>Placements complémentaires</w:t>
      </w:r>
    </w:p>
    <w:p w14:paraId="303DDB41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Produits structurés : rendement conditionné, capital protégé ou non</w:t>
      </w:r>
    </w:p>
    <w:p w14:paraId="501123D4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Private Equity : accès au non-coté, horizon long</w:t>
      </w:r>
    </w:p>
    <w:p w14:paraId="3C986657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SCPI : pierre-papier, diversification immobilière accessible</w:t>
      </w:r>
    </w:p>
    <w:p w14:paraId="3D9AE7C7" w14:textId="77777777" w:rsidR="00A13E53" w:rsidRDefault="00A13E53">
      <w:pPr>
        <w:spacing w:after="80"/>
      </w:pPr>
    </w:p>
    <w:p w14:paraId="7ABAA4C4" w14:textId="77777777" w:rsidR="00A13E53" w:rsidRDefault="00000000">
      <w:pPr>
        <w:pStyle w:val="Heading1"/>
        <w:pBdr>
          <w:bottom w:val="single" w:sz="4" w:space="4" w:color="1F3864"/>
        </w:pBdr>
      </w:pPr>
      <w:r>
        <w:t>7. PER Supplémentaire &amp; Compte Titres</w:t>
      </w:r>
    </w:p>
    <w:p w14:paraId="654FED7C" w14:textId="77777777" w:rsidR="00A13E53" w:rsidRDefault="00000000">
      <w:pPr>
        <w:pStyle w:val="Heading2"/>
      </w:pPr>
      <w:r>
        <w:t>PER Supplémentaire (compartiments C1, C2, C3)</w:t>
      </w:r>
    </w:p>
    <w:p w14:paraId="465698AB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Sortie en capital ou en rente selon le compartiment</w:t>
      </w:r>
    </w:p>
    <w:p w14:paraId="032BC42C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Sortie anticipée possible pour accidents de la vie ou achat de résidence principale (C1)</w:t>
      </w:r>
    </w:p>
    <w:p w14:paraId="41117C9D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G2 / G3 : gestion des transferts entrants et versements selon l'origine</w:t>
      </w:r>
    </w:p>
    <w:p w14:paraId="56E66874" w14:textId="77777777" w:rsidR="00A13E53" w:rsidRDefault="00000000">
      <w:pPr>
        <w:spacing w:after="60"/>
        <w:ind w:left="360"/>
      </w:pPr>
      <w:r>
        <w:t xml:space="preserve">💡 </w:t>
      </w:r>
      <w:r>
        <w:rPr>
          <w:i/>
          <w:iCs/>
          <w:color w:val="555555"/>
        </w:rPr>
        <w:t>L'origine du versement (volontaire, salariale, obligatoire) conditionne le mode d'imposition à la sortie.</w:t>
      </w:r>
    </w:p>
    <w:p w14:paraId="60421DAE" w14:textId="77777777" w:rsidR="00A13E53" w:rsidRDefault="00A13E53">
      <w:pPr>
        <w:spacing w:after="80"/>
      </w:pPr>
    </w:p>
    <w:p w14:paraId="6379797F" w14:textId="77777777" w:rsidR="00A13E53" w:rsidRDefault="00000000">
      <w:pPr>
        <w:pStyle w:val="Heading2"/>
      </w:pPr>
      <w:r>
        <w:t>Compte Titres Ordinaire (CTO)</w:t>
      </w:r>
    </w:p>
    <w:p w14:paraId="4636DC72" w14:textId="77777777" w:rsidR="00A13E53" w:rsidRDefault="00000000">
      <w:pPr>
        <w:spacing w:after="60"/>
      </w:pPr>
      <w:r>
        <w:t>Le compte titres permet d'investir directement en bourse, sans plafond ni contrainte de durée, mais sans avantage fiscal à l'entrée.</w:t>
      </w:r>
    </w:p>
    <w:p w14:paraId="41B3DD0D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Investissement en valeurs mobilières (actions, obligations, ETF, OPCVM)</w:t>
      </w:r>
    </w:p>
    <w:p w14:paraId="2C341B2F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Investissement en valeurs immobilières cotées (foncières, SIIC)</w:t>
      </w:r>
    </w:p>
    <w:p w14:paraId="66039D48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lastRenderedPageBreak/>
        <w:t>Accès libre aux actifs avec un équilibre selon la stratégie</w:t>
      </w:r>
    </w:p>
    <w:p w14:paraId="33B5D0BD" w14:textId="77777777" w:rsidR="00A13E53" w:rsidRDefault="00A13E53">
      <w:pPr>
        <w:spacing w:after="80"/>
      </w:pPr>
    </w:p>
    <w:p w14:paraId="6115A69E" w14:textId="77777777" w:rsidR="00A13E53" w:rsidRDefault="00000000">
      <w:pPr>
        <w:pStyle w:val="Heading2"/>
      </w:pPr>
      <w:r>
        <w:t>Fiscalité du Compte Titres</w:t>
      </w:r>
    </w:p>
    <w:p w14:paraId="16A5F1F0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PFU : 12,8 % d'impôt sur le revenu + 17,2 % de prélèvements sociaux = 30 % flat tax</w:t>
      </w:r>
    </w:p>
    <w:p w14:paraId="773F454C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Option possible pour le barème progressif de l'IR si plus favorable</w:t>
      </w:r>
    </w:p>
    <w:p w14:paraId="51526EE4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Frais de transaction : ≤ 0,5 % du montant</w:t>
      </w:r>
    </w:p>
    <w:p w14:paraId="62750B73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Frais d'arbitrage : frais de souscription + frais de gestion</w:t>
      </w:r>
    </w:p>
    <w:p w14:paraId="3F4526D3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Risque de délégation bancaire : rendement limité, exposition variable selon les actifs</w:t>
      </w:r>
    </w:p>
    <w:p w14:paraId="5AEF43A5" w14:textId="77777777" w:rsidR="00A13E53" w:rsidRDefault="00A13E53">
      <w:pPr>
        <w:spacing w:after="80"/>
      </w:pPr>
    </w:p>
    <w:p w14:paraId="2802E65D" w14:textId="77777777" w:rsidR="00A13E53" w:rsidRDefault="00000000">
      <w:pPr>
        <w:pStyle w:val="Heading2"/>
      </w:pPr>
      <w:r>
        <w:t>Avantages du Compte Titres</w:t>
      </w:r>
    </w:p>
    <w:p w14:paraId="124C33F6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Développement du patrimoine financier sans contrainte de durée</w:t>
      </w:r>
    </w:p>
    <w:p w14:paraId="1072245C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Compléments possibles via produits structurés</w:t>
      </w:r>
    </w:p>
    <w:p w14:paraId="05E9958C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Liquidité immédiate des actifs</w:t>
      </w:r>
    </w:p>
    <w:p w14:paraId="6D1AD135" w14:textId="77777777" w:rsidR="00A13E53" w:rsidRDefault="00000000">
      <w:pPr>
        <w:pStyle w:val="ListParagraph"/>
        <w:numPr>
          <w:ilvl w:val="0"/>
          <w:numId w:val="2"/>
        </w:numPr>
        <w:spacing w:after="40"/>
      </w:pPr>
      <w:r>
        <w:t>Liberté totale dans le choix des supports d'investissement</w:t>
      </w:r>
    </w:p>
    <w:p w14:paraId="38D8C4AF" w14:textId="77777777" w:rsidR="00A13E53" w:rsidRDefault="00A13E53">
      <w:pPr>
        <w:spacing w:after="80"/>
      </w:pPr>
    </w:p>
    <w:p w14:paraId="6EFE2CBC" w14:textId="08D8AA47" w:rsidR="00A13E53" w:rsidRDefault="00A13E53">
      <w:pPr>
        <w:spacing w:before="600"/>
        <w:jc w:val="center"/>
      </w:pPr>
    </w:p>
    <w:sectPr w:rsidR="00A13E53">
      <w:footerReference w:type="default" r:id="rId7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F4B72BA" w14:textId="77777777" w:rsidR="008A0828" w:rsidRDefault="008A0828">
      <w:r>
        <w:separator/>
      </w:r>
    </w:p>
  </w:endnote>
  <w:endnote w:type="continuationSeparator" w:id="0">
    <w:p w14:paraId="5673F3F2" w14:textId="77777777" w:rsidR="008A0828" w:rsidRDefault="008A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406D20" w14:textId="673AD7E1" w:rsidR="00A13E53" w:rsidRPr="000861E6" w:rsidRDefault="00A13E53">
    <w:pPr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E6C827B" w14:textId="77777777" w:rsidR="008A0828" w:rsidRDefault="008A0828">
      <w:r>
        <w:separator/>
      </w:r>
    </w:p>
  </w:footnote>
  <w:footnote w:type="continuationSeparator" w:id="0">
    <w:p w14:paraId="029FF6CD" w14:textId="77777777" w:rsidR="008A0828" w:rsidRDefault="008A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F80894"/>
    <w:multiLevelType w:val="hybridMultilevel"/>
    <w:tmpl w:val="6C2AE322"/>
    <w:lvl w:ilvl="0" w:tplc="11E4C416">
      <w:start w:val="1"/>
      <w:numFmt w:val="bullet"/>
      <w:lvlText w:val="–"/>
      <w:lvlJc w:val="left"/>
      <w:pPr>
        <w:ind w:left="900" w:hanging="280"/>
      </w:pPr>
    </w:lvl>
    <w:lvl w:ilvl="1" w:tplc="F9B403CE">
      <w:numFmt w:val="decimal"/>
      <w:lvlText w:val=""/>
      <w:lvlJc w:val="left"/>
    </w:lvl>
    <w:lvl w:ilvl="2" w:tplc="321838A0">
      <w:numFmt w:val="decimal"/>
      <w:lvlText w:val=""/>
      <w:lvlJc w:val="left"/>
    </w:lvl>
    <w:lvl w:ilvl="3" w:tplc="DC16CD06">
      <w:numFmt w:val="decimal"/>
      <w:lvlText w:val=""/>
      <w:lvlJc w:val="left"/>
    </w:lvl>
    <w:lvl w:ilvl="4" w:tplc="E36A18A6">
      <w:numFmt w:val="decimal"/>
      <w:lvlText w:val=""/>
      <w:lvlJc w:val="left"/>
    </w:lvl>
    <w:lvl w:ilvl="5" w:tplc="0FB00F98">
      <w:numFmt w:val="decimal"/>
      <w:lvlText w:val=""/>
      <w:lvlJc w:val="left"/>
    </w:lvl>
    <w:lvl w:ilvl="6" w:tplc="AD926334">
      <w:numFmt w:val="decimal"/>
      <w:lvlText w:val=""/>
      <w:lvlJc w:val="left"/>
    </w:lvl>
    <w:lvl w:ilvl="7" w:tplc="2F509582">
      <w:numFmt w:val="decimal"/>
      <w:lvlText w:val=""/>
      <w:lvlJc w:val="left"/>
    </w:lvl>
    <w:lvl w:ilvl="8" w:tplc="36723850">
      <w:numFmt w:val="decimal"/>
      <w:lvlText w:val=""/>
      <w:lvlJc w:val="left"/>
    </w:lvl>
  </w:abstractNum>
  <w:abstractNum w:abstractNumId="1" w15:restartNumberingAfterBreak="0">
    <w:nsid w:val="37A621CB"/>
    <w:multiLevelType w:val="hybridMultilevel"/>
    <w:tmpl w:val="22E4F8BE"/>
    <w:lvl w:ilvl="0" w:tplc="4176A17C">
      <w:start w:val="1"/>
      <w:numFmt w:val="bullet"/>
      <w:lvlText w:val="▸"/>
      <w:lvlJc w:val="left"/>
      <w:pPr>
        <w:ind w:left="560" w:hanging="280"/>
      </w:pPr>
    </w:lvl>
    <w:lvl w:ilvl="1" w:tplc="AB60020C">
      <w:numFmt w:val="decimal"/>
      <w:lvlText w:val=""/>
      <w:lvlJc w:val="left"/>
    </w:lvl>
    <w:lvl w:ilvl="2" w:tplc="05BA2448">
      <w:numFmt w:val="decimal"/>
      <w:lvlText w:val=""/>
      <w:lvlJc w:val="left"/>
    </w:lvl>
    <w:lvl w:ilvl="3" w:tplc="38265EB0">
      <w:numFmt w:val="decimal"/>
      <w:lvlText w:val=""/>
      <w:lvlJc w:val="left"/>
    </w:lvl>
    <w:lvl w:ilvl="4" w:tplc="1F6CECD8">
      <w:numFmt w:val="decimal"/>
      <w:lvlText w:val=""/>
      <w:lvlJc w:val="left"/>
    </w:lvl>
    <w:lvl w:ilvl="5" w:tplc="C378528C">
      <w:numFmt w:val="decimal"/>
      <w:lvlText w:val=""/>
      <w:lvlJc w:val="left"/>
    </w:lvl>
    <w:lvl w:ilvl="6" w:tplc="3864A8E6">
      <w:numFmt w:val="decimal"/>
      <w:lvlText w:val=""/>
      <w:lvlJc w:val="left"/>
    </w:lvl>
    <w:lvl w:ilvl="7" w:tplc="064E213E">
      <w:numFmt w:val="decimal"/>
      <w:lvlText w:val=""/>
      <w:lvlJc w:val="left"/>
    </w:lvl>
    <w:lvl w:ilvl="8" w:tplc="90D0ED1A">
      <w:numFmt w:val="decimal"/>
      <w:lvlText w:val=""/>
      <w:lvlJc w:val="left"/>
    </w:lvl>
  </w:abstractNum>
  <w:abstractNum w:abstractNumId="2" w15:restartNumberingAfterBreak="0">
    <w:nsid w:val="47501CCE"/>
    <w:multiLevelType w:val="hybridMultilevel"/>
    <w:tmpl w:val="6AC225F2"/>
    <w:lvl w:ilvl="0" w:tplc="088E9A16">
      <w:start w:val="1"/>
      <w:numFmt w:val="bullet"/>
      <w:lvlText w:val="●"/>
      <w:lvlJc w:val="left"/>
      <w:pPr>
        <w:ind w:left="720" w:hanging="360"/>
      </w:pPr>
    </w:lvl>
    <w:lvl w:ilvl="1" w:tplc="D96A40B0">
      <w:start w:val="1"/>
      <w:numFmt w:val="bullet"/>
      <w:lvlText w:val="○"/>
      <w:lvlJc w:val="left"/>
      <w:pPr>
        <w:ind w:left="1440" w:hanging="360"/>
      </w:pPr>
    </w:lvl>
    <w:lvl w:ilvl="2" w:tplc="1DD25ED6">
      <w:start w:val="1"/>
      <w:numFmt w:val="bullet"/>
      <w:lvlText w:val="■"/>
      <w:lvlJc w:val="left"/>
      <w:pPr>
        <w:ind w:left="2160" w:hanging="360"/>
      </w:pPr>
    </w:lvl>
    <w:lvl w:ilvl="3" w:tplc="968AB0A2">
      <w:start w:val="1"/>
      <w:numFmt w:val="bullet"/>
      <w:lvlText w:val="●"/>
      <w:lvlJc w:val="left"/>
      <w:pPr>
        <w:ind w:left="2880" w:hanging="360"/>
      </w:pPr>
    </w:lvl>
    <w:lvl w:ilvl="4" w:tplc="C46012A6">
      <w:start w:val="1"/>
      <w:numFmt w:val="bullet"/>
      <w:lvlText w:val="○"/>
      <w:lvlJc w:val="left"/>
      <w:pPr>
        <w:ind w:left="3600" w:hanging="360"/>
      </w:pPr>
    </w:lvl>
    <w:lvl w:ilvl="5" w:tplc="E60E2980">
      <w:start w:val="1"/>
      <w:numFmt w:val="bullet"/>
      <w:lvlText w:val="■"/>
      <w:lvlJc w:val="left"/>
      <w:pPr>
        <w:ind w:left="4320" w:hanging="360"/>
      </w:pPr>
    </w:lvl>
    <w:lvl w:ilvl="6" w:tplc="A1A83EDA">
      <w:start w:val="1"/>
      <w:numFmt w:val="bullet"/>
      <w:lvlText w:val="●"/>
      <w:lvlJc w:val="left"/>
      <w:pPr>
        <w:ind w:left="5040" w:hanging="360"/>
      </w:pPr>
    </w:lvl>
    <w:lvl w:ilvl="7" w:tplc="B6FE9C34">
      <w:start w:val="1"/>
      <w:numFmt w:val="bullet"/>
      <w:lvlText w:val="●"/>
      <w:lvlJc w:val="left"/>
      <w:pPr>
        <w:ind w:left="5760" w:hanging="360"/>
      </w:pPr>
    </w:lvl>
    <w:lvl w:ilvl="8" w:tplc="1E6ECF8E">
      <w:start w:val="1"/>
      <w:numFmt w:val="bullet"/>
      <w:lvlText w:val="●"/>
      <w:lvlJc w:val="left"/>
      <w:pPr>
        <w:ind w:left="6480" w:hanging="360"/>
      </w:pPr>
    </w:lvl>
  </w:abstractNum>
  <w:num w:numId="1" w16cid:durableId="1541674511">
    <w:abstractNumId w:val="2"/>
    <w:lvlOverride w:ilvl="0">
      <w:startOverride w:val="1"/>
    </w:lvlOverride>
  </w:num>
  <w:num w:numId="2" w16cid:durableId="112411447">
    <w:abstractNumId w:val="1"/>
    <w:lvlOverride w:ilvl="0">
      <w:startOverride w:val="1"/>
    </w:lvlOverride>
  </w:num>
  <w:num w:numId="3" w16cid:durableId="18760382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53"/>
    <w:rsid w:val="000861E6"/>
    <w:rsid w:val="008A0828"/>
    <w:rsid w:val="00A13E53"/>
    <w:rsid w:val="00E8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367ED"/>
  <w15:docId w15:val="{C19A26D4-45DB-5646-8387-DC4E0241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color w:val="2C3E5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C55A11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61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1E6"/>
  </w:style>
  <w:style w:type="paragraph" w:styleId="Footer">
    <w:name w:val="footer"/>
    <w:basedOn w:val="Normal"/>
    <w:link w:val="FooterChar"/>
    <w:uiPriority w:val="99"/>
    <w:unhideWhenUsed/>
    <w:rsid w:val="000861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Sarrut, Lili</cp:lastModifiedBy>
  <cp:revision>2</cp:revision>
  <dcterms:created xsi:type="dcterms:W3CDTF">2026-06-17T09:18:00Z</dcterms:created>
  <dcterms:modified xsi:type="dcterms:W3CDTF">2026-06-17T09:32:00Z</dcterms:modified>
</cp:coreProperties>
</file>